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12BB" w:rsidRDefault="00574E5E" w:rsidP="00102DAB">
      <w:pPr>
        <w:pStyle w:val="1"/>
        <w:shd w:val="clear" w:color="auto" w:fill="auto"/>
        <w:ind w:left="1620" w:right="40"/>
      </w:pPr>
      <w:r>
        <w:t>.</w:t>
      </w:r>
      <w:r w:rsidR="005721F5" w:rsidRPr="005721F5">
        <w:rPr>
          <w:noProof/>
        </w:rPr>
        <w:t xml:space="preserve"> </w:t>
      </w:r>
    </w:p>
    <w:p w:rsidR="006612BB" w:rsidRDefault="00574E5E" w:rsidP="005721F5">
      <w:pPr>
        <w:pStyle w:val="20"/>
        <w:shd w:val="clear" w:color="auto" w:fill="auto"/>
        <w:spacing w:before="0" w:after="182"/>
      </w:pPr>
      <w:r>
        <w:t>ИНСТРУКЦИЯ по применению набора для определения гликогемоглобина (НЬА1с) в крови «ГЛИКОГЕМОТЕСТ»</w:t>
      </w:r>
    </w:p>
    <w:p w:rsidR="006612BB" w:rsidRDefault="00574E5E">
      <w:pPr>
        <w:pStyle w:val="30"/>
        <w:shd w:val="clear" w:color="auto" w:fill="auto"/>
        <w:spacing w:before="0" w:after="14" w:line="150" w:lineRule="exact"/>
        <w:ind w:left="20"/>
      </w:pPr>
      <w:r>
        <w:t>НАЗНАЧЕНИЕ</w:t>
      </w:r>
    </w:p>
    <w:p w:rsidR="006612BB" w:rsidRDefault="00102DAB">
      <w:pPr>
        <w:pStyle w:val="1"/>
        <w:shd w:val="clear" w:color="auto" w:fill="auto"/>
        <w:spacing w:after="118" w:line="182" w:lineRule="exact"/>
        <w:ind w:left="20" w:right="40"/>
      </w:pPr>
      <w:r>
        <w:t xml:space="preserve">Набор "ГЛИКОГЕМОТЕСТ" предназначен для определения процентного содержания гликогемоглобина (НЬА1с) в капиллярной и венозной крови человека, которое используется для диагностики латентной (скрытой) формы сахарного диабета, для ретроспективной оценки декомпенсации больных сахарным диабетом за последние три месяца, оценки состояния больных сахарным диабетом в момент обследования, а также для контроля эффективности лечения больных сахарным диабетом. </w:t>
      </w:r>
      <w:r w:rsidR="00574E5E">
        <w:t>Набор рассчитан на проведение 100 определений гликогемоглобина.</w:t>
      </w:r>
    </w:p>
    <w:p w:rsidR="006612BB" w:rsidRDefault="00574E5E">
      <w:pPr>
        <w:pStyle w:val="30"/>
        <w:shd w:val="clear" w:color="auto" w:fill="auto"/>
        <w:spacing w:before="0" w:after="0" w:line="185" w:lineRule="exact"/>
        <w:ind w:left="20"/>
      </w:pPr>
      <w:r>
        <w:t>ПРИНЦИП МЕТОДА</w:t>
      </w:r>
    </w:p>
    <w:p w:rsidR="006612BB" w:rsidRDefault="00574E5E">
      <w:pPr>
        <w:pStyle w:val="1"/>
        <w:shd w:val="clear" w:color="auto" w:fill="auto"/>
        <w:ind w:left="20" w:right="40"/>
      </w:pPr>
      <w:r>
        <w:t>Метод основан на принципе аффинного разделения гликированной и негликированной фракции гемоглобина гемолизата крови. Используемый в микроколонках набора аффинный сорбент с привитой 4-аминометилфенилбороновой кислотой обеспечивает на первой стадии специфическое связывание гликогемоглобина и его отделение от негликированной фракции. На второй стадии за счет низкого pH раствора происходит переход бороновой кислоты в свободную ионную форму с высвобождением и последующей полной элюцией гликированной фракции гемоглобина.</w:t>
      </w:r>
    </w:p>
    <w:p w:rsidR="006612BB" w:rsidRDefault="00574E5E">
      <w:pPr>
        <w:pStyle w:val="1"/>
        <w:shd w:val="clear" w:color="auto" w:fill="auto"/>
        <w:ind w:left="20" w:right="40"/>
      </w:pPr>
      <w:r>
        <w:t>Измерение оптических плотностей обеих фракций при длине волны 414 нм (в пределах 405-420 нм) позволяет рассчитать относительное содержание гликогемоглобина в анализируемой пробе.</w:t>
      </w:r>
    </w:p>
    <w:p w:rsidR="006612BB" w:rsidRDefault="00574E5E">
      <w:pPr>
        <w:pStyle w:val="1"/>
        <w:shd w:val="clear" w:color="auto" w:fill="auto"/>
        <w:spacing w:after="148"/>
        <w:ind w:left="20"/>
      </w:pPr>
      <w:r>
        <w:t>После обработки сорбента буферным раствором микроколонка может быть использована повторно.</w:t>
      </w:r>
    </w:p>
    <w:p w:rsidR="006612BB" w:rsidRDefault="00574E5E">
      <w:pPr>
        <w:pStyle w:val="30"/>
        <w:shd w:val="clear" w:color="auto" w:fill="auto"/>
        <w:spacing w:before="0" w:after="8" w:line="150" w:lineRule="exact"/>
        <w:ind w:left="20"/>
      </w:pPr>
      <w:r>
        <w:t>СОСТАВ НАБОРА</w:t>
      </w:r>
    </w:p>
    <w:p w:rsidR="006612BB" w:rsidRDefault="00574E5E">
      <w:pPr>
        <w:pStyle w:val="1"/>
        <w:numPr>
          <w:ilvl w:val="0"/>
          <w:numId w:val="1"/>
        </w:numPr>
        <w:shd w:val="clear" w:color="auto" w:fill="auto"/>
        <w:tabs>
          <w:tab w:val="left" w:pos="168"/>
        </w:tabs>
        <w:spacing w:line="180" w:lineRule="exact"/>
        <w:ind w:left="20" w:right="1560"/>
        <w:jc w:val="left"/>
      </w:pPr>
      <w:r>
        <w:t>Пластиковые микроколонки в комплекте, заполненные аффинным сорбентом, содержащим привитую 4-аминометилфенилбороновую кислоту - 5 штук;</w:t>
      </w:r>
    </w:p>
    <w:p w:rsidR="006612BB" w:rsidRDefault="00574E5E">
      <w:pPr>
        <w:pStyle w:val="1"/>
        <w:numPr>
          <w:ilvl w:val="0"/>
          <w:numId w:val="1"/>
        </w:numPr>
        <w:shd w:val="clear" w:color="auto" w:fill="auto"/>
        <w:tabs>
          <w:tab w:val="left" w:pos="168"/>
        </w:tabs>
        <w:spacing w:line="192" w:lineRule="exact"/>
        <w:ind w:left="20" w:right="40"/>
      </w:pPr>
      <w:r>
        <w:t>Контрольный лиофилизированный образец гликированного гемоглобина с известным (в пределах 9-13%) содержанием НвА1с-1 флакон (0.3 мл);</w:t>
      </w:r>
    </w:p>
    <w:p w:rsidR="006612BB" w:rsidRDefault="00102DAB">
      <w:pPr>
        <w:pStyle w:val="1"/>
        <w:numPr>
          <w:ilvl w:val="0"/>
          <w:numId w:val="1"/>
        </w:numPr>
        <w:shd w:val="clear" w:color="auto" w:fill="auto"/>
        <w:tabs>
          <w:tab w:val="left" w:pos="168"/>
        </w:tabs>
        <w:spacing w:line="192" w:lineRule="exact"/>
        <w:ind w:left="20"/>
      </w:pPr>
      <w:r>
        <w:t xml:space="preserve">Антикоагулянт </w:t>
      </w:r>
      <w:r w:rsidRPr="00A95936">
        <w:t>(</w:t>
      </w:r>
      <w:r>
        <w:rPr>
          <w:lang w:val="en-US"/>
        </w:rPr>
        <w:t>Na</w:t>
      </w:r>
      <w:r w:rsidRPr="00A95936">
        <w:rPr>
          <w:vertAlign w:val="subscript"/>
        </w:rPr>
        <w:t>2</w:t>
      </w:r>
      <w:r>
        <w:t>ЭДТА</w:t>
      </w:r>
      <w:r w:rsidRPr="00A95936">
        <w:t xml:space="preserve">, </w:t>
      </w:r>
      <w:r>
        <w:t>0,1 М, натрия хлорид, 0,9%) -1 флакон (25 мл);</w:t>
      </w:r>
    </w:p>
    <w:p w:rsidR="006612BB" w:rsidRDefault="00102DAB">
      <w:pPr>
        <w:pStyle w:val="1"/>
        <w:numPr>
          <w:ilvl w:val="0"/>
          <w:numId w:val="1"/>
        </w:numPr>
        <w:shd w:val="clear" w:color="auto" w:fill="auto"/>
        <w:tabs>
          <w:tab w:val="left" w:pos="168"/>
        </w:tabs>
        <w:spacing w:line="192" w:lineRule="exact"/>
        <w:ind w:left="20"/>
      </w:pPr>
      <w:r>
        <w:t>Гомилетик</w:t>
      </w:r>
      <w:r w:rsidR="00574E5E">
        <w:t xml:space="preserve"> (Тритон Х-100, 0,1%, натрий азид , 8 </w:t>
      </w:r>
      <w:r>
        <w:t>мм</w:t>
      </w:r>
      <w:r w:rsidR="00574E5E">
        <w:t>) -1 флакон (25 мл):</w:t>
      </w:r>
    </w:p>
    <w:p w:rsidR="006612BB" w:rsidRDefault="00574E5E">
      <w:pPr>
        <w:pStyle w:val="1"/>
        <w:numPr>
          <w:ilvl w:val="0"/>
          <w:numId w:val="1"/>
        </w:numPr>
        <w:shd w:val="clear" w:color="auto" w:fill="auto"/>
        <w:tabs>
          <w:tab w:val="left" w:pos="168"/>
          <w:tab w:val="center" w:pos="6620"/>
          <w:tab w:val="center" w:pos="7129"/>
          <w:tab w:val="center" w:pos="7724"/>
          <w:tab w:val="right" w:pos="8564"/>
        </w:tabs>
        <w:spacing w:line="192" w:lineRule="exact"/>
        <w:ind w:left="20"/>
      </w:pPr>
      <w:r>
        <w:t xml:space="preserve">Буферный раствор (аммоний ацетатный буфер, 1,0М. </w:t>
      </w:r>
      <w:r w:rsidR="00102DAB">
        <w:t>р.</w:t>
      </w:r>
      <w:r>
        <w:t xml:space="preserve"> 8,1 ±0,2. нат</w:t>
      </w:r>
      <w:r w:rsidR="00102DAB">
        <w:t>рий азид, 8 мМ-4 флакона</w:t>
      </w:r>
      <w:r w:rsidR="00102DAB">
        <w:tab/>
        <w:t>(110</w:t>
      </w:r>
      <w:r>
        <w:t>мл);</w:t>
      </w:r>
    </w:p>
    <w:p w:rsidR="006612BB" w:rsidRDefault="00574E5E">
      <w:pPr>
        <w:pStyle w:val="1"/>
        <w:numPr>
          <w:ilvl w:val="0"/>
          <w:numId w:val="1"/>
        </w:numPr>
        <w:shd w:val="clear" w:color="auto" w:fill="auto"/>
        <w:tabs>
          <w:tab w:val="left" w:pos="168"/>
        </w:tabs>
        <w:spacing w:after="118" w:line="192" w:lineRule="exact"/>
        <w:ind w:left="20"/>
      </w:pPr>
      <w:r>
        <w:t xml:space="preserve">Раствор уксусной кислоты (уксусная кислота 0,1М) - 2 </w:t>
      </w:r>
      <w:r w:rsidR="00102DAB">
        <w:t>флакона</w:t>
      </w:r>
      <w:r>
        <w:t xml:space="preserve"> (105 мл).</w:t>
      </w:r>
    </w:p>
    <w:p w:rsidR="006612BB" w:rsidRDefault="00574E5E">
      <w:pPr>
        <w:pStyle w:val="30"/>
        <w:shd w:val="clear" w:color="auto" w:fill="auto"/>
        <w:spacing w:before="0" w:after="0" w:line="194" w:lineRule="exact"/>
        <w:ind w:left="20"/>
      </w:pPr>
      <w:r>
        <w:t>АНАЛИТИЧЕСКИЕ ХАРАКТЕРИСТИКИ НАБОРА</w:t>
      </w:r>
    </w:p>
    <w:p w:rsidR="006612BB" w:rsidRDefault="00574E5E">
      <w:pPr>
        <w:pStyle w:val="1"/>
        <w:numPr>
          <w:ilvl w:val="0"/>
          <w:numId w:val="1"/>
        </w:numPr>
        <w:shd w:val="clear" w:color="auto" w:fill="auto"/>
        <w:tabs>
          <w:tab w:val="left" w:pos="168"/>
          <w:tab w:val="center" w:pos="6289"/>
        </w:tabs>
        <w:spacing w:line="194" w:lineRule="exact"/>
        <w:ind w:left="20"/>
      </w:pPr>
      <w:r>
        <w:t>Диапазон измеряемого содержания гликогемоглобина НЬА1о в капиллярной</w:t>
      </w:r>
      <w:r>
        <w:tab/>
        <w:t xml:space="preserve">крови человека составляет 4-20 </w:t>
      </w:r>
      <w:r>
        <w:rPr>
          <w:rStyle w:val="a5"/>
        </w:rPr>
        <w:t>%.</w:t>
      </w:r>
    </w:p>
    <w:p w:rsidR="006612BB" w:rsidRDefault="00574E5E">
      <w:pPr>
        <w:pStyle w:val="1"/>
        <w:numPr>
          <w:ilvl w:val="0"/>
          <w:numId w:val="1"/>
        </w:numPr>
        <w:shd w:val="clear" w:color="auto" w:fill="auto"/>
        <w:tabs>
          <w:tab w:val="left" w:pos="168"/>
        </w:tabs>
        <w:spacing w:line="194" w:lineRule="exact"/>
        <w:ind w:left="20"/>
      </w:pPr>
      <w:r>
        <w:t>Коэффициент вариации результатов определения - не более 6%.</w:t>
      </w:r>
    </w:p>
    <w:p w:rsidR="006612BB" w:rsidRDefault="00102DAB">
      <w:pPr>
        <w:pStyle w:val="1"/>
        <w:shd w:val="clear" w:color="auto" w:fill="auto"/>
        <w:spacing w:line="194" w:lineRule="exact"/>
        <w:ind w:left="20"/>
      </w:pPr>
      <w:r>
        <w:t>- Правильность метода определяется по контрольным образцам гликогемоглабина НвА1с.</w:t>
      </w:r>
    </w:p>
    <w:p w:rsidR="006612BB" w:rsidRDefault="00574E5E">
      <w:pPr>
        <w:pStyle w:val="1"/>
        <w:numPr>
          <w:ilvl w:val="0"/>
          <w:numId w:val="1"/>
        </w:numPr>
        <w:shd w:val="clear" w:color="auto" w:fill="auto"/>
        <w:tabs>
          <w:tab w:val="left" w:pos="168"/>
        </w:tabs>
        <w:spacing w:line="194" w:lineRule="exact"/>
        <w:ind w:left="20"/>
      </w:pPr>
      <w:r>
        <w:t xml:space="preserve">Нормальные величины гликогемоглобина НвА1с в капиллярной крови здоровых людей составляют от 4,4% до 6,0% </w:t>
      </w:r>
      <w:r w:rsidRPr="00A95936">
        <w:t>(</w:t>
      </w:r>
      <w:r>
        <w:rPr>
          <w:lang w:val="en-US"/>
        </w:rPr>
        <w:t>NGSP</w:t>
      </w:r>
      <w:r w:rsidRPr="00A95936">
        <w:t>).</w:t>
      </w:r>
    </w:p>
    <w:p w:rsidR="006612BB" w:rsidRDefault="00574E5E">
      <w:pPr>
        <w:pStyle w:val="1"/>
        <w:numPr>
          <w:ilvl w:val="0"/>
          <w:numId w:val="1"/>
        </w:numPr>
        <w:shd w:val="clear" w:color="auto" w:fill="auto"/>
        <w:tabs>
          <w:tab w:val="left" w:pos="168"/>
        </w:tabs>
        <w:spacing w:after="130" w:line="194" w:lineRule="exact"/>
        <w:ind w:left="20"/>
      </w:pPr>
      <w:r>
        <w:t>Для правильной интерпретации показаний гликогемоглобина следует учитывать результаты клинических исследований крови.</w:t>
      </w:r>
    </w:p>
    <w:p w:rsidR="006612BB" w:rsidRDefault="00574E5E">
      <w:pPr>
        <w:pStyle w:val="30"/>
        <w:shd w:val="clear" w:color="auto" w:fill="auto"/>
        <w:spacing w:before="0" w:after="0" w:line="182" w:lineRule="exact"/>
        <w:ind w:left="20"/>
      </w:pPr>
      <w:r>
        <w:t>МЕРЫ ПРЕДОСТОРОЖНОСТИ</w:t>
      </w:r>
    </w:p>
    <w:p w:rsidR="006612BB" w:rsidRDefault="00574E5E">
      <w:pPr>
        <w:pStyle w:val="1"/>
        <w:shd w:val="clear" w:color="auto" w:fill="auto"/>
        <w:spacing w:line="182" w:lineRule="exact"/>
        <w:ind w:left="20"/>
      </w:pPr>
      <w:r>
        <w:t xml:space="preserve">Все компоненты набора в используемых концентрациях </w:t>
      </w:r>
      <w:r w:rsidR="00102DAB">
        <w:t>являются</w:t>
      </w:r>
      <w:r>
        <w:t xml:space="preserve"> нетоксичными.</w:t>
      </w:r>
    </w:p>
    <w:p w:rsidR="006612BB" w:rsidRDefault="00F734BA">
      <w:pPr>
        <w:pStyle w:val="1"/>
        <w:shd w:val="clear" w:color="auto" w:fill="auto"/>
        <w:spacing w:line="182" w:lineRule="exact"/>
        <w:ind w:left="20" w:right="40"/>
      </w:pPr>
      <w:r>
        <w:t xml:space="preserve">Меры предосторожности - соблюдение «Правил устройства, техники безопасности, производственной санитарии, противоэпидемического режима и личной гигиены при работе в лабораториях (отделениях, отделах) санитарно-эпидемиологических учреждений системы министерства здравоохранения СССР». </w:t>
      </w:r>
      <w:r w:rsidR="00574E5E">
        <w:t>Москва, 1981 г.</w:t>
      </w:r>
    </w:p>
    <w:p w:rsidR="006612BB" w:rsidRDefault="00102DAB">
      <w:pPr>
        <w:pStyle w:val="1"/>
        <w:shd w:val="clear" w:color="auto" w:fill="auto"/>
        <w:spacing w:line="182" w:lineRule="exact"/>
        <w:ind w:left="20" w:right="40"/>
      </w:pPr>
      <w:r>
        <w:t>При работе с набором и анализируемыми образцами цельной крови следует надевать одноразовые резиновые или пластиковые перчатки, так как образцы крови являются потенциально инфицированным материалом, способным длительное время сохранять и передавать ВИЧ, вирус гепатита. или любой другой возбудитель вирусной инфекции.</w:t>
      </w:r>
    </w:p>
    <w:p w:rsidR="006612BB" w:rsidRDefault="00574E5E">
      <w:pPr>
        <w:pStyle w:val="1"/>
        <w:shd w:val="clear" w:color="auto" w:fill="auto"/>
        <w:spacing w:line="182" w:lineRule="exact"/>
        <w:ind w:left="20" w:right="40"/>
      </w:pPr>
      <w:r>
        <w:t>Химическая посуда и оборудование, которые используются при работе с набором, должны быть соответствующим образом маркированы и храниться отдельно. Исключается пипетирование раствора ртом. Все сточные растворы следует обрабатывать 6% раствором перекиси водорода при комнатной температуре (18-25°С) не менее 3 часов.</w:t>
      </w:r>
    </w:p>
    <w:p w:rsidR="006612BB" w:rsidRDefault="00574E5E">
      <w:pPr>
        <w:pStyle w:val="1"/>
        <w:shd w:val="clear" w:color="auto" w:fill="auto"/>
        <w:spacing w:after="146" w:line="182" w:lineRule="exact"/>
        <w:ind w:left="20"/>
      </w:pPr>
      <w:r>
        <w:t>Используемые инструменты и оборудование после окончания работы следует обработать 70% этиловым спиртом.</w:t>
      </w:r>
    </w:p>
    <w:p w:rsidR="006612BB" w:rsidRDefault="00574E5E">
      <w:pPr>
        <w:pStyle w:val="30"/>
        <w:shd w:val="clear" w:color="auto" w:fill="auto"/>
        <w:spacing w:before="0" w:after="13" w:line="150" w:lineRule="exact"/>
        <w:ind w:left="20"/>
      </w:pPr>
      <w:r>
        <w:t>ОБОРУДОВАНИЕ И РЕАГЕНТЫ</w:t>
      </w:r>
    </w:p>
    <w:p w:rsidR="006612BB" w:rsidRDefault="00574E5E">
      <w:pPr>
        <w:pStyle w:val="1"/>
        <w:numPr>
          <w:ilvl w:val="0"/>
          <w:numId w:val="1"/>
        </w:numPr>
        <w:shd w:val="clear" w:color="auto" w:fill="auto"/>
        <w:tabs>
          <w:tab w:val="left" w:pos="168"/>
        </w:tabs>
        <w:spacing w:line="178" w:lineRule="exact"/>
        <w:ind w:left="20" w:right="40"/>
      </w:pPr>
      <w:r>
        <w:t>фотоколориметр или спектрофотометр, позволяющие проводить измерения при длине волны 414 нм ( или в пределах от 405 до 420 нм, или синий фильтр), кювета с длиной оптического пути 1 см;</w:t>
      </w:r>
    </w:p>
    <w:p w:rsidR="006612BB" w:rsidRDefault="00574E5E">
      <w:pPr>
        <w:pStyle w:val="1"/>
        <w:numPr>
          <w:ilvl w:val="0"/>
          <w:numId w:val="1"/>
        </w:numPr>
        <w:shd w:val="clear" w:color="auto" w:fill="auto"/>
        <w:tabs>
          <w:tab w:val="left" w:pos="168"/>
        </w:tabs>
        <w:spacing w:after="6" w:line="140" w:lineRule="exact"/>
        <w:ind w:left="20"/>
      </w:pPr>
      <w:r>
        <w:t>штатив для пробирок полиэтиленовый;</w:t>
      </w:r>
    </w:p>
    <w:p w:rsidR="006612BB" w:rsidRDefault="00574E5E">
      <w:pPr>
        <w:pStyle w:val="1"/>
        <w:numPr>
          <w:ilvl w:val="0"/>
          <w:numId w:val="1"/>
        </w:numPr>
        <w:shd w:val="clear" w:color="auto" w:fill="auto"/>
        <w:tabs>
          <w:tab w:val="left" w:pos="168"/>
        </w:tabs>
        <w:spacing w:line="180" w:lineRule="exact"/>
        <w:ind w:left="20" w:right="40"/>
      </w:pPr>
      <w:r>
        <w:t>пипетки полуавтоматические одноканальные с переменным или фиксированным объемом со сменными наконечниками, позволяющие отбирать объемы жидкости 0,02-5,0 мл, аттестованные по значению средней дозы и сходимости результатов пипетирования, ошибка не более 3%;</w:t>
      </w:r>
    </w:p>
    <w:p w:rsidR="006612BB" w:rsidRDefault="00574E5E">
      <w:pPr>
        <w:pStyle w:val="1"/>
        <w:numPr>
          <w:ilvl w:val="0"/>
          <w:numId w:val="1"/>
        </w:numPr>
        <w:shd w:val="clear" w:color="auto" w:fill="auto"/>
        <w:tabs>
          <w:tab w:val="left" w:pos="168"/>
        </w:tabs>
        <w:spacing w:line="194" w:lineRule="exact"/>
        <w:ind w:left="20"/>
      </w:pPr>
      <w:r>
        <w:t>пробирки центрифужные, вместимостью 10 мл, и химические круглодонные, вместимостью 5,0-10,0 мл;</w:t>
      </w:r>
    </w:p>
    <w:p w:rsidR="006612BB" w:rsidRDefault="00574E5E">
      <w:pPr>
        <w:pStyle w:val="1"/>
        <w:numPr>
          <w:ilvl w:val="0"/>
          <w:numId w:val="1"/>
        </w:numPr>
        <w:shd w:val="clear" w:color="auto" w:fill="auto"/>
        <w:tabs>
          <w:tab w:val="left" w:pos="168"/>
        </w:tabs>
        <w:spacing w:line="194" w:lineRule="exact"/>
        <w:ind w:left="20"/>
      </w:pPr>
      <w:r>
        <w:t>холодильник бытовой;</w:t>
      </w:r>
    </w:p>
    <w:p w:rsidR="006612BB" w:rsidRDefault="00574E5E">
      <w:pPr>
        <w:pStyle w:val="1"/>
        <w:numPr>
          <w:ilvl w:val="0"/>
          <w:numId w:val="1"/>
        </w:numPr>
        <w:shd w:val="clear" w:color="auto" w:fill="auto"/>
        <w:tabs>
          <w:tab w:val="left" w:pos="168"/>
        </w:tabs>
        <w:spacing w:line="194" w:lineRule="exact"/>
        <w:ind w:left="20"/>
      </w:pPr>
      <w:r>
        <w:t>бумага лабораторная фильтровальная;</w:t>
      </w:r>
    </w:p>
    <w:p w:rsidR="006612BB" w:rsidRDefault="00574E5E">
      <w:pPr>
        <w:pStyle w:val="1"/>
        <w:numPr>
          <w:ilvl w:val="0"/>
          <w:numId w:val="1"/>
        </w:numPr>
        <w:shd w:val="clear" w:color="auto" w:fill="auto"/>
        <w:tabs>
          <w:tab w:val="left" w:pos="168"/>
        </w:tabs>
        <w:spacing w:line="194" w:lineRule="exact"/>
        <w:ind w:left="20"/>
      </w:pPr>
      <w:r>
        <w:t>вода дистиллированная или деионизированная;</w:t>
      </w:r>
    </w:p>
    <w:p w:rsidR="006612BB" w:rsidRDefault="00574E5E">
      <w:pPr>
        <w:pStyle w:val="1"/>
        <w:numPr>
          <w:ilvl w:val="0"/>
          <w:numId w:val="1"/>
        </w:numPr>
        <w:shd w:val="clear" w:color="auto" w:fill="auto"/>
        <w:tabs>
          <w:tab w:val="left" w:pos="168"/>
        </w:tabs>
        <w:spacing w:line="194" w:lineRule="exact"/>
        <w:ind w:left="20"/>
      </w:pPr>
      <w:r>
        <w:t>раствор перекиси водорода , 6% раствор;</w:t>
      </w:r>
    </w:p>
    <w:p w:rsidR="006612BB" w:rsidRDefault="00574E5E">
      <w:pPr>
        <w:pStyle w:val="1"/>
        <w:numPr>
          <w:ilvl w:val="0"/>
          <w:numId w:val="1"/>
        </w:numPr>
        <w:shd w:val="clear" w:color="auto" w:fill="auto"/>
        <w:tabs>
          <w:tab w:val="left" w:pos="168"/>
        </w:tabs>
        <w:spacing w:line="194" w:lineRule="exact"/>
        <w:ind w:left="20"/>
      </w:pPr>
      <w:r>
        <w:t>спирт этиловый медицинский ректифицированный 70%;</w:t>
      </w:r>
    </w:p>
    <w:p w:rsidR="006612BB" w:rsidRDefault="00574E5E">
      <w:pPr>
        <w:pStyle w:val="1"/>
        <w:numPr>
          <w:ilvl w:val="0"/>
          <w:numId w:val="1"/>
        </w:numPr>
        <w:shd w:val="clear" w:color="auto" w:fill="auto"/>
        <w:tabs>
          <w:tab w:val="left" w:pos="168"/>
        </w:tabs>
        <w:spacing w:after="130" w:line="194" w:lineRule="exact"/>
        <w:ind w:left="20"/>
      </w:pPr>
      <w:r>
        <w:t>перчатки резиновые хирургические.</w:t>
      </w:r>
    </w:p>
    <w:p w:rsidR="006612BB" w:rsidRDefault="00574E5E">
      <w:pPr>
        <w:pStyle w:val="30"/>
        <w:shd w:val="clear" w:color="auto" w:fill="auto"/>
        <w:spacing w:before="0" w:after="0" w:line="182" w:lineRule="exact"/>
        <w:ind w:left="20"/>
      </w:pPr>
      <w:r>
        <w:t>ПРИГОТОВЛЕНИЕ АНАЛИЗИРУЕМЫХ ОБРАЗЦОВ</w:t>
      </w:r>
    </w:p>
    <w:p w:rsidR="006612BB" w:rsidRDefault="00574E5E">
      <w:pPr>
        <w:pStyle w:val="1"/>
        <w:shd w:val="clear" w:color="auto" w:fill="auto"/>
        <w:spacing w:line="182" w:lineRule="exact"/>
        <w:ind w:left="20"/>
      </w:pPr>
      <w:r>
        <w:t>Для анализа используется капиллярная или венозная кровь с а чти коагулянтом (ЭДТА, гепарин и др.).</w:t>
      </w:r>
    </w:p>
    <w:p w:rsidR="006612BB" w:rsidRDefault="00574E5E">
      <w:pPr>
        <w:pStyle w:val="1"/>
        <w:shd w:val="clear" w:color="auto" w:fill="auto"/>
        <w:spacing w:line="182" w:lineRule="exact"/>
        <w:ind w:left="20" w:right="40"/>
        <w:jc w:val="left"/>
      </w:pPr>
      <w:r>
        <w:t xml:space="preserve">В пробирку, предназначенную для отбора образцов крови, внести 0,2 мл Антикоагулянта (или 3-4 капли) и 0,2 мл (или 3-4 капли) крови. Перемешать и дать отстояться 15 минут. </w:t>
      </w:r>
      <w:r w:rsidR="00102DAB">
        <w:t xml:space="preserve">Отобрать из осадка 0,02 мл эритроцита ной массы (или 0,01 мл, если кровь или образцы отстаивались более 3-х часов или после центрифугирования) и перенести в пробирку, содержащую 0,2 мл Гомилетика. </w:t>
      </w:r>
      <w:r>
        <w:t xml:space="preserve">Перемешать и отстаивать 5-10 минут до прозрачного состояния. </w:t>
      </w:r>
      <w:r w:rsidR="00102DAB">
        <w:t>Образцы крови с анти коагулянтом и гемолизаты могут храниться при температуре 2-8°С в течение 10 дней.</w:t>
      </w:r>
    </w:p>
    <w:p w:rsidR="00102DAB" w:rsidRDefault="00102DAB">
      <w:pPr>
        <w:pStyle w:val="1"/>
        <w:shd w:val="clear" w:color="auto" w:fill="auto"/>
        <w:spacing w:line="182" w:lineRule="exact"/>
        <w:ind w:left="20" w:right="40"/>
        <w:jc w:val="left"/>
      </w:pPr>
    </w:p>
    <w:p w:rsidR="007A36D5" w:rsidRDefault="007A36D5" w:rsidP="00102DAB">
      <w:pPr>
        <w:pStyle w:val="20"/>
        <w:shd w:val="clear" w:color="auto" w:fill="auto"/>
        <w:ind w:left="20"/>
      </w:pPr>
    </w:p>
    <w:p w:rsidR="007A36D5" w:rsidRDefault="007A36D5" w:rsidP="00102DAB">
      <w:pPr>
        <w:pStyle w:val="20"/>
        <w:shd w:val="clear" w:color="auto" w:fill="auto"/>
        <w:ind w:left="20"/>
      </w:pPr>
    </w:p>
    <w:p w:rsidR="007A36D5" w:rsidRDefault="007A36D5" w:rsidP="00102DAB">
      <w:pPr>
        <w:pStyle w:val="20"/>
        <w:shd w:val="clear" w:color="auto" w:fill="auto"/>
        <w:ind w:left="20"/>
      </w:pPr>
    </w:p>
    <w:p w:rsidR="00102DAB" w:rsidRDefault="00102DAB" w:rsidP="00102DAB">
      <w:pPr>
        <w:pStyle w:val="20"/>
        <w:shd w:val="clear" w:color="auto" w:fill="auto"/>
        <w:ind w:left="20"/>
      </w:pPr>
      <w:r>
        <w:t>ПРИГОТОВЛЕНИЕ КОНТРОЛЬНОГО ОБРАЗЦА</w:t>
      </w:r>
    </w:p>
    <w:p w:rsidR="00102DAB" w:rsidRDefault="00102DAB" w:rsidP="00102DAB">
      <w:pPr>
        <w:pStyle w:val="1"/>
        <w:shd w:val="clear" w:color="auto" w:fill="auto"/>
        <w:ind w:left="20" w:right="240"/>
      </w:pPr>
      <w:r>
        <w:t>Во флакон с контрольным образцом добавить 0,3 мл дистиллированной воды и отставить на 10 минут. Затем контрольный образец, не встряхивая, перемешать до полного растворения пиофилизата.</w:t>
      </w:r>
    </w:p>
    <w:p w:rsidR="0086108D" w:rsidRDefault="00F734BA" w:rsidP="009D1F98">
      <w:pPr>
        <w:pStyle w:val="1"/>
        <w:shd w:val="clear" w:color="auto" w:fill="auto"/>
        <w:tabs>
          <w:tab w:val="left" w:pos="585"/>
        </w:tabs>
        <w:spacing w:after="146" w:line="182" w:lineRule="exact"/>
      </w:pPr>
      <w:r>
        <w:t xml:space="preserve">0,02.мл контрольного образца НЬА1 развести 0,2 мл Гемолитика. </w:t>
      </w:r>
      <w:r w:rsidR="009D1F98">
        <w:t>Перемешать.</w:t>
      </w:r>
    </w:p>
    <w:p w:rsidR="0086108D" w:rsidRDefault="0086108D" w:rsidP="00102DAB">
      <w:pPr>
        <w:pStyle w:val="20"/>
        <w:shd w:val="clear" w:color="auto" w:fill="auto"/>
        <w:spacing w:after="71" w:line="150" w:lineRule="exact"/>
        <w:ind w:left="20"/>
      </w:pPr>
    </w:p>
    <w:p w:rsidR="00102DAB" w:rsidRDefault="00102DAB" w:rsidP="00102DAB">
      <w:pPr>
        <w:pStyle w:val="20"/>
        <w:shd w:val="clear" w:color="auto" w:fill="auto"/>
        <w:spacing w:after="71" w:line="150" w:lineRule="exact"/>
        <w:ind w:left="20"/>
      </w:pPr>
      <w:r>
        <w:t>ПРОВЕДЕНИЕ АНАЛИЗА</w:t>
      </w:r>
    </w:p>
    <w:p w:rsidR="00102DAB" w:rsidRDefault="0086108D" w:rsidP="0086108D">
      <w:pPr>
        <w:pStyle w:val="20"/>
        <w:shd w:val="clear" w:color="auto" w:fill="auto"/>
        <w:tabs>
          <w:tab w:val="left" w:pos="585"/>
        </w:tabs>
        <w:spacing w:before="0" w:after="0" w:line="182" w:lineRule="exact"/>
        <w:ind w:left="20"/>
        <w:jc w:val="both"/>
      </w:pPr>
      <w:r>
        <w:t>1.</w:t>
      </w:r>
      <w:r w:rsidR="00102DAB">
        <w:t>Подготовительные операции.</w:t>
      </w:r>
    </w:p>
    <w:p w:rsidR="00102DAB" w:rsidRDefault="00102DAB" w:rsidP="00102DAB">
      <w:pPr>
        <w:pStyle w:val="1"/>
        <w:shd w:val="clear" w:color="auto" w:fill="auto"/>
        <w:ind w:left="20" w:right="240"/>
      </w:pPr>
      <w:r>
        <w:t xml:space="preserve">Достать микроколонки из холодильника, снять вначале верхнюю крышку, затем нижний колпачок и удалить жидкость. Дать микроколонками прогреться до комнатной температуры </w:t>
      </w:r>
      <w:r w:rsidR="00F734BA">
        <w:t>(</w:t>
      </w:r>
      <w:r>
        <w:t>не менее 22-25°С). Промаркировать по 2 пробирки для каждого анализируемого образца крови (А и Б). Для ряда Б желательно использовать круглодонные химические пробирки.</w:t>
      </w:r>
    </w:p>
    <w:p w:rsidR="00102DAB" w:rsidRDefault="00102DAB" w:rsidP="00102DAB">
      <w:pPr>
        <w:pStyle w:val="1"/>
        <w:shd w:val="clear" w:color="auto" w:fill="auto"/>
        <w:ind w:left="20"/>
      </w:pPr>
      <w:r>
        <w:t>Установить пробирки А в штатив в ряд 1, соответствующие пробирки Б - в соседние гнезда ряда 2.</w:t>
      </w:r>
    </w:p>
    <w:p w:rsidR="0086108D" w:rsidRDefault="00102DAB" w:rsidP="0086108D">
      <w:pPr>
        <w:pStyle w:val="1"/>
        <w:shd w:val="clear" w:color="auto" w:fill="auto"/>
        <w:ind w:left="20"/>
      </w:pPr>
      <w:r>
        <w:t>В пробирки ряда Б внести по 1 мл Буферного раствора.</w:t>
      </w:r>
    </w:p>
    <w:p w:rsidR="00102DAB" w:rsidRPr="0086108D" w:rsidRDefault="00102DAB" w:rsidP="0086108D">
      <w:pPr>
        <w:pStyle w:val="1"/>
        <w:shd w:val="clear" w:color="auto" w:fill="auto"/>
        <w:ind w:left="20"/>
        <w:rPr>
          <w:b/>
        </w:rPr>
      </w:pPr>
      <w:r w:rsidRPr="0086108D">
        <w:rPr>
          <w:b/>
        </w:rPr>
        <w:t>Не допускается наличие пузырька воздуха под нижним фильтром в носике микроколонки!</w:t>
      </w:r>
    </w:p>
    <w:p w:rsidR="0086108D" w:rsidRDefault="0086108D" w:rsidP="0086108D">
      <w:pPr>
        <w:pStyle w:val="1"/>
        <w:shd w:val="clear" w:color="auto" w:fill="auto"/>
        <w:ind w:left="20"/>
      </w:pPr>
    </w:p>
    <w:p w:rsidR="00102DAB" w:rsidRDefault="0086108D" w:rsidP="0086108D">
      <w:pPr>
        <w:pStyle w:val="20"/>
        <w:shd w:val="clear" w:color="auto" w:fill="auto"/>
        <w:tabs>
          <w:tab w:val="left" w:pos="276"/>
        </w:tabs>
        <w:spacing w:before="0" w:after="0" w:line="182" w:lineRule="exact"/>
        <w:ind w:left="20"/>
        <w:jc w:val="both"/>
      </w:pPr>
      <w:r>
        <w:t>2.</w:t>
      </w:r>
      <w:r w:rsidR="00102DAB">
        <w:t>Проведение анализа образцов крови.</w:t>
      </w:r>
    </w:p>
    <w:p w:rsidR="00102DAB" w:rsidRDefault="00102DAB" w:rsidP="00102DAB">
      <w:pPr>
        <w:pStyle w:val="1"/>
        <w:numPr>
          <w:ilvl w:val="1"/>
          <w:numId w:val="2"/>
        </w:numPr>
        <w:shd w:val="clear" w:color="auto" w:fill="auto"/>
        <w:tabs>
          <w:tab w:val="left" w:pos="276"/>
        </w:tabs>
        <w:spacing w:line="182" w:lineRule="exact"/>
        <w:ind w:left="20"/>
      </w:pPr>
      <w:r>
        <w:t>В соответствующие микроколонки строго на верхний фильтр внести по 0,1 мл гемолизата исследуемых образцов крови.</w:t>
      </w:r>
    </w:p>
    <w:p w:rsidR="00102DAB" w:rsidRDefault="00102DAB" w:rsidP="00102DAB">
      <w:pPr>
        <w:pStyle w:val="1"/>
        <w:shd w:val="clear" w:color="auto" w:fill="auto"/>
        <w:tabs>
          <w:tab w:val="center" w:pos="7482"/>
          <w:tab w:val="center" w:pos="8775"/>
        </w:tabs>
        <w:ind w:left="20"/>
      </w:pPr>
      <w:r>
        <w:t>После впитывания гемолизатов в фильтр внести по 0,1 мг Буф</w:t>
      </w:r>
      <w:r w:rsidR="0086108D">
        <w:t xml:space="preserve">ерного раствора и дождаться его </w:t>
      </w:r>
      <w:r>
        <w:t>проникновения</w:t>
      </w:r>
      <w:r>
        <w:tab/>
        <w:t>в сорбент.</w:t>
      </w:r>
    </w:p>
    <w:p w:rsidR="00102DAB" w:rsidRDefault="00102DAB" w:rsidP="00102DAB">
      <w:pPr>
        <w:pStyle w:val="1"/>
        <w:shd w:val="clear" w:color="auto" w:fill="auto"/>
        <w:ind w:left="20"/>
      </w:pPr>
      <w:r>
        <w:t>Затем внести в микроколонки по 2,0 мл Буферного раствора и дать стечь жидкости.</w:t>
      </w:r>
    </w:p>
    <w:p w:rsidR="00102DAB" w:rsidRDefault="00102DAB" w:rsidP="00102DAB">
      <w:pPr>
        <w:pStyle w:val="1"/>
        <w:shd w:val="clear" w:color="auto" w:fill="auto"/>
        <w:tabs>
          <w:tab w:val="center" w:pos="7170"/>
          <w:tab w:val="center" w:pos="7906"/>
          <w:tab w:val="center" w:pos="8420"/>
          <w:tab w:val="right" w:pos="9426"/>
        </w:tabs>
        <w:ind w:left="20"/>
      </w:pPr>
      <w:r>
        <w:t xml:space="preserve">Микроколонки из ряда 1 переместить в пробирки Б </w:t>
      </w:r>
      <w:r w:rsidR="00F734BA">
        <w:t>ряд</w:t>
      </w:r>
      <w:r w:rsidR="0086108D">
        <w:t xml:space="preserve"> 2 и внести в них по 2,0 мл</w:t>
      </w:r>
      <w:r w:rsidR="00F734BA">
        <w:t>. Р</w:t>
      </w:r>
      <w:r w:rsidR="0086108D">
        <w:t xml:space="preserve">аствора уксусной </w:t>
      </w:r>
      <w:r>
        <w:t>кисл</w:t>
      </w:r>
      <w:r w:rsidR="0086108D">
        <w:t xml:space="preserve">оты. </w:t>
      </w:r>
      <w:r>
        <w:t>Дать</w:t>
      </w:r>
    </w:p>
    <w:p w:rsidR="00102DAB" w:rsidRDefault="00102DAB" w:rsidP="00102DAB">
      <w:pPr>
        <w:pStyle w:val="1"/>
        <w:shd w:val="clear" w:color="auto" w:fill="auto"/>
        <w:ind w:left="20"/>
      </w:pPr>
      <w:r>
        <w:t>жидкости стечь. Вынуть микроколонки из пробирок и перенести в другой штатив.</w:t>
      </w:r>
    </w:p>
    <w:p w:rsidR="00102DAB" w:rsidRDefault="00102DAB" w:rsidP="00102DAB">
      <w:pPr>
        <w:pStyle w:val="1"/>
        <w:shd w:val="clear" w:color="auto" w:fill="auto"/>
        <w:ind w:left="20"/>
      </w:pPr>
      <w:r>
        <w:t>В пробирки А добавить по 4 мл дистиллированной или деионизированной воды и перемешать (фракция А).</w:t>
      </w:r>
    </w:p>
    <w:p w:rsidR="00102DAB" w:rsidRDefault="00102DAB" w:rsidP="00102DAB">
      <w:pPr>
        <w:pStyle w:val="1"/>
        <w:shd w:val="clear" w:color="auto" w:fill="auto"/>
        <w:ind w:left="20"/>
      </w:pPr>
      <w:r>
        <w:t>Пробирки Б тщательно перемешать (фракция Б).</w:t>
      </w:r>
    </w:p>
    <w:p w:rsidR="00102DAB" w:rsidRDefault="00102DAB" w:rsidP="00102DAB">
      <w:pPr>
        <w:pStyle w:val="1"/>
        <w:shd w:val="clear" w:color="auto" w:fill="auto"/>
        <w:ind w:left="20" w:right="240"/>
      </w:pPr>
      <w:r>
        <w:t>Измерить оптическую плотность растворов из пробирок А и Б при длине волны 414 нм (или в пределах 405-420 нм, или синий фильтр), используя в качестве образца сравнения дистиллированную воду.</w:t>
      </w:r>
    </w:p>
    <w:p w:rsidR="00102DAB" w:rsidRDefault="00102DAB" w:rsidP="00102DAB">
      <w:pPr>
        <w:pStyle w:val="1"/>
        <w:numPr>
          <w:ilvl w:val="1"/>
          <w:numId w:val="2"/>
        </w:numPr>
        <w:shd w:val="clear" w:color="auto" w:fill="auto"/>
        <w:tabs>
          <w:tab w:val="left" w:pos="276"/>
        </w:tabs>
        <w:spacing w:line="182" w:lineRule="exact"/>
        <w:ind w:left="20"/>
      </w:pPr>
      <w:r>
        <w:t>Содержание гликогемоглобина НвА1с рассчитать по формуле:</w:t>
      </w:r>
    </w:p>
    <w:p w:rsidR="00102DAB" w:rsidRDefault="00102DAB" w:rsidP="00102DAB">
      <w:pPr>
        <w:pStyle w:val="30"/>
        <w:shd w:val="clear" w:color="auto" w:fill="auto"/>
        <w:spacing w:after="0"/>
        <w:ind w:left="180"/>
        <w:jc w:val="center"/>
      </w:pPr>
      <w:r>
        <w:rPr>
          <w:lang w:val="en-US"/>
        </w:rPr>
        <w:t>Of</w:t>
      </w:r>
      <w:r w:rsidRPr="00102DAB">
        <w:t xml:space="preserve"> </w:t>
      </w:r>
      <w:r>
        <w:t>(Б) х 100</w:t>
      </w:r>
    </w:p>
    <w:p w:rsidR="00102DAB" w:rsidRDefault="00102DAB" w:rsidP="00102DAB">
      <w:pPr>
        <w:pStyle w:val="30"/>
        <w:shd w:val="clear" w:color="auto" w:fill="auto"/>
        <w:tabs>
          <w:tab w:val="left" w:leader="hyphen" w:pos="5729"/>
        </w:tabs>
        <w:spacing w:after="0"/>
        <w:ind w:left="2820"/>
      </w:pPr>
      <w:r>
        <w:t>% НвА1с =</w:t>
      </w:r>
      <w:r>
        <w:tab/>
        <w:t>х 0,71+1,9</w:t>
      </w:r>
    </w:p>
    <w:p w:rsidR="00102DAB" w:rsidRDefault="00102DAB" w:rsidP="00102DAB">
      <w:pPr>
        <w:pStyle w:val="30"/>
        <w:shd w:val="clear" w:color="auto" w:fill="auto"/>
        <w:spacing w:after="0"/>
        <w:ind w:left="180"/>
        <w:jc w:val="center"/>
      </w:pPr>
      <w:r>
        <w:t>ОП</w:t>
      </w:r>
      <w:r w:rsidR="00A771FC">
        <w:t xml:space="preserve"> </w:t>
      </w:r>
      <w:r>
        <w:t>(Б)</w:t>
      </w:r>
      <w:r w:rsidR="00A771FC">
        <w:t xml:space="preserve"> </w:t>
      </w:r>
      <w:r>
        <w:t>ч 2,07 хОП (А)</w:t>
      </w:r>
    </w:p>
    <w:p w:rsidR="00102DAB" w:rsidRDefault="00102DAB" w:rsidP="00102DAB">
      <w:pPr>
        <w:pStyle w:val="1"/>
        <w:shd w:val="clear" w:color="auto" w:fill="auto"/>
        <w:ind w:left="20"/>
      </w:pPr>
      <w:r>
        <w:t>где: ОП (Б) - оптическая плотность фракции Б;</w:t>
      </w:r>
    </w:p>
    <w:p w:rsidR="00102DAB" w:rsidRDefault="00102DAB" w:rsidP="00102DAB">
      <w:pPr>
        <w:pStyle w:val="1"/>
        <w:shd w:val="clear" w:color="auto" w:fill="auto"/>
        <w:ind w:left="480"/>
        <w:jc w:val="left"/>
      </w:pPr>
      <w:r>
        <w:t>ОП (А) - оптическая плотность фракции А;</w:t>
      </w:r>
    </w:p>
    <w:p w:rsidR="00102DAB" w:rsidRDefault="00102DAB" w:rsidP="00102DAB">
      <w:pPr>
        <w:pStyle w:val="1"/>
        <w:shd w:val="clear" w:color="auto" w:fill="auto"/>
        <w:ind w:left="20" w:right="3940"/>
        <w:jc w:val="left"/>
      </w:pPr>
      <w:r>
        <w:t>2,07 - пересчетный коэффициент оптической п</w:t>
      </w:r>
      <w:r w:rsidR="00C04AFD">
        <w:t>лотности фракции А (соотношение</w:t>
      </w:r>
      <w:r>
        <w:t>объема фракции А, равной 6.2 мл, и фракции Б. равной 3,0 мл);</w:t>
      </w:r>
    </w:p>
    <w:p w:rsidR="00102DAB" w:rsidRDefault="00102DAB" w:rsidP="00102DAB">
      <w:pPr>
        <w:pStyle w:val="1"/>
        <w:shd w:val="clear" w:color="auto" w:fill="auto"/>
        <w:ind w:left="20"/>
      </w:pPr>
      <w:r>
        <w:t>100 - пересчетный коэффициент для вычисления процентного содержания.</w:t>
      </w:r>
    </w:p>
    <w:p w:rsidR="00102DAB" w:rsidRDefault="00102DAB" w:rsidP="00102DAB">
      <w:pPr>
        <w:pStyle w:val="1"/>
        <w:shd w:val="clear" w:color="auto" w:fill="auto"/>
        <w:spacing w:after="118"/>
        <w:ind w:left="20"/>
      </w:pPr>
      <w:r>
        <w:t>0,71+1,9 - пересчётные коэффициенты для вычисления фракции НвА1с из общего содержания гликогемоглобина.</w:t>
      </w:r>
    </w:p>
    <w:p w:rsidR="00102DAB" w:rsidRDefault="00F734BA" w:rsidP="00102DAB">
      <w:pPr>
        <w:pStyle w:val="20"/>
        <w:numPr>
          <w:ilvl w:val="0"/>
          <w:numId w:val="2"/>
        </w:numPr>
        <w:shd w:val="clear" w:color="auto" w:fill="auto"/>
        <w:tabs>
          <w:tab w:val="left" w:pos="276"/>
        </w:tabs>
        <w:spacing w:before="0" w:after="0" w:line="185" w:lineRule="exact"/>
        <w:ind w:left="20"/>
        <w:jc w:val="both"/>
      </w:pPr>
      <w:r>
        <w:t>Уравновешивание и консервация микроколонок.</w:t>
      </w:r>
    </w:p>
    <w:p w:rsidR="00102DAB" w:rsidRDefault="00102DAB" w:rsidP="00102DAB">
      <w:pPr>
        <w:pStyle w:val="1"/>
        <w:shd w:val="clear" w:color="auto" w:fill="auto"/>
        <w:ind w:left="20" w:right="240"/>
      </w:pPr>
      <w:r>
        <w:t xml:space="preserve">В </w:t>
      </w:r>
      <w:r w:rsidR="00F734BA">
        <w:t>микроколонки</w:t>
      </w:r>
      <w:r>
        <w:t xml:space="preserve"> внести по 1 мл Буферного раствора и дать жидкости стечь. Сорбент микроколонки уравновешен и может быть использован повторно. </w:t>
      </w:r>
      <w:r w:rsidR="00F734BA">
        <w:t xml:space="preserve">Для хранения микроколонок внести в них по 0,3 мл Буферного раствора, надеть вначале нижний колпачок, затем верхнюю крышку и поместить в холодильник при +2-8°С. </w:t>
      </w:r>
      <w:r w:rsidR="00F734BA">
        <w:rPr>
          <w:rStyle w:val="a7"/>
        </w:rPr>
        <w:t>Строго предохранять сорбент от замораживания</w:t>
      </w:r>
    </w:p>
    <w:p w:rsidR="00102DAB" w:rsidRDefault="00102DAB" w:rsidP="00102DAB">
      <w:pPr>
        <w:pStyle w:val="1"/>
        <w:shd w:val="clear" w:color="auto" w:fill="auto"/>
        <w:tabs>
          <w:tab w:val="left" w:pos="1220"/>
        </w:tabs>
        <w:spacing w:after="122"/>
        <w:ind w:left="20"/>
      </w:pPr>
    </w:p>
    <w:p w:rsidR="00102DAB" w:rsidRDefault="00102DAB" w:rsidP="00102DAB">
      <w:pPr>
        <w:pStyle w:val="20"/>
        <w:numPr>
          <w:ilvl w:val="0"/>
          <w:numId w:val="2"/>
        </w:numPr>
        <w:shd w:val="clear" w:color="auto" w:fill="auto"/>
        <w:tabs>
          <w:tab w:val="left" w:pos="276"/>
        </w:tabs>
        <w:spacing w:before="0" w:after="0" w:line="182" w:lineRule="exact"/>
        <w:ind w:left="20"/>
        <w:jc w:val="both"/>
      </w:pPr>
      <w:r>
        <w:t>Анализ контрольного образца.</w:t>
      </w:r>
    </w:p>
    <w:p w:rsidR="00102DAB" w:rsidRDefault="00F734BA" w:rsidP="00102DAB">
      <w:pPr>
        <w:pStyle w:val="1"/>
        <w:shd w:val="clear" w:color="auto" w:fill="auto"/>
        <w:spacing w:after="120"/>
        <w:ind w:left="20" w:right="240"/>
      </w:pPr>
      <w:r>
        <w:t>Анализ контрольного образца гликогемоглобина проводить в соответствии п. 2.1 с использованием 0,1 мл раствора контрольного образца вместо 0,1 мл гемолизата крови.</w:t>
      </w:r>
    </w:p>
    <w:p w:rsidR="00102DAB" w:rsidRDefault="00102DAB" w:rsidP="00102DAB">
      <w:pPr>
        <w:pStyle w:val="20"/>
        <w:shd w:val="clear" w:color="auto" w:fill="auto"/>
        <w:ind w:left="20"/>
      </w:pPr>
      <w:r>
        <w:t>УХОД ЗА МИКРОКОЛОНКАМИ</w:t>
      </w:r>
    </w:p>
    <w:p w:rsidR="00102DAB" w:rsidRDefault="00F734BA" w:rsidP="00102DAB">
      <w:pPr>
        <w:pStyle w:val="1"/>
        <w:shd w:val="clear" w:color="auto" w:fill="auto"/>
        <w:ind w:left="20" w:right="240"/>
      </w:pPr>
      <w:r>
        <w:t xml:space="preserve">При образовании под верхним фильтром пузырьков микроколонку следует перезарядить. </w:t>
      </w:r>
      <w:r w:rsidR="00102DAB">
        <w:t xml:space="preserve">Для этого в микроколонку с надетым нижним колпачком и без верхней крышки надо внести 3-4 мл дистиллированной или деионизированной воды. Браншем пинцета необходимо нажать на край верхнего фильтра и, когда последний развернется в рабочей части микроколонки, захватить фильтр и извлечь его в верхнюю часть микроколонки. Ланцетом ресуспендировать сорбент до нижнего фильтра. Микроколонку поместить в вертикальное положение на 30-40 минут. </w:t>
      </w:r>
      <w:r>
        <w:t xml:space="preserve">После осаждения сорбента стеклянной палочкой соответствующего диаметра поместить верхний фильтр в рабочую часть микроколонки строго в исходное положение (нижний край верхнего фильтра должен быть на уровне отметки на микроколонке). </w:t>
      </w:r>
      <w:r w:rsidR="00102DAB">
        <w:t>Сорбент промыть 1мл Буферного раствора и микроколонка готова к дальнейшему использованию.</w:t>
      </w:r>
    </w:p>
    <w:p w:rsidR="00102DAB" w:rsidRDefault="00102DAB" w:rsidP="00102DAB">
      <w:pPr>
        <w:pStyle w:val="1"/>
        <w:shd w:val="clear" w:color="auto" w:fill="auto"/>
        <w:spacing w:after="120"/>
        <w:ind w:left="20" w:right="240"/>
      </w:pPr>
      <w:r>
        <w:t>В процессе использования микроколонки сорбент может уплотняться с образованием пространства между верхней поверхностью сорбента и нижним краем верхнего фильтра, размер которого не должен превышать 1 мм. В противном случае микроколонку следует перезарядить.</w:t>
      </w:r>
    </w:p>
    <w:p w:rsidR="00102DAB" w:rsidRDefault="00102DAB" w:rsidP="00102DAB">
      <w:pPr>
        <w:pStyle w:val="30"/>
        <w:shd w:val="clear" w:color="auto" w:fill="auto"/>
        <w:spacing w:after="0"/>
        <w:ind w:left="20"/>
      </w:pPr>
      <w:r>
        <w:t>УСЛОВИЯ ХРАНЕНИЯ И ЭКСПЛУАТАЦИИ НАБОРА</w:t>
      </w:r>
    </w:p>
    <w:p w:rsidR="00102DAB" w:rsidRDefault="00102DAB" w:rsidP="00102DAB">
      <w:pPr>
        <w:pStyle w:val="1"/>
        <w:shd w:val="clear" w:color="auto" w:fill="auto"/>
        <w:ind w:left="20" w:right="240"/>
      </w:pPr>
      <w:r>
        <w:t>Наборы должны храниться при температуре 2-8°С в течение всего срока годности. Допускается хранение наборов для их транспортировки при температуре до 25°С не более 5 суток</w:t>
      </w:r>
    </w:p>
    <w:p w:rsidR="00102DAB" w:rsidRDefault="00102DAB" w:rsidP="00102DAB">
      <w:pPr>
        <w:pStyle w:val="1"/>
        <w:shd w:val="clear" w:color="auto" w:fill="auto"/>
        <w:ind w:left="20" w:right="240"/>
        <w:jc w:val="left"/>
      </w:pPr>
      <w:r>
        <w:t xml:space="preserve">Набор должен применяться согласно Инструкции по </w:t>
      </w:r>
      <w:r w:rsidR="00F734BA">
        <w:t>применению</w:t>
      </w:r>
      <w:r>
        <w:t>, утвержденной Минздравом Российской Федерации. Растворы Антикоагулянт</w:t>
      </w:r>
      <w:r w:rsidR="002B2746">
        <w:t>а, Гемолитика и уксусной кислот</w:t>
      </w:r>
      <w:r>
        <w:t xml:space="preserve">ы после вскрытия </w:t>
      </w:r>
      <w:r w:rsidR="00F734BA">
        <w:t>флаконов</w:t>
      </w:r>
      <w:r>
        <w:t xml:space="preserve"> могут храниться при комнатной температуре в течение всего срока годности. Вскрытый флакон Буферного раствора хранится в течение 3 месяцев. Контрольный раствор гликогемоглобина НЬА1 с храниться при температуре 2-8°С в течение указанного срока годности. Микроколонки могут храниться при температуре 2-8°С в течение 1 года.</w:t>
      </w:r>
    </w:p>
    <w:p w:rsidR="00102DAB" w:rsidRDefault="00102DAB" w:rsidP="00102DAB">
      <w:pPr>
        <w:pStyle w:val="1"/>
        <w:shd w:val="clear" w:color="auto" w:fill="auto"/>
        <w:ind w:left="20"/>
      </w:pPr>
      <w:r>
        <w:t>Срок годности набора - 12 месяцев с момента изготовления.</w:t>
      </w:r>
    </w:p>
    <w:p w:rsidR="00102DAB" w:rsidRDefault="00102DAB" w:rsidP="00102DAB">
      <w:pPr>
        <w:pStyle w:val="1"/>
        <w:shd w:val="clear" w:color="auto" w:fill="auto"/>
        <w:ind w:left="20"/>
      </w:pPr>
      <w:r>
        <w:t xml:space="preserve">Для получения надежных результатов необходимо строгое с </w:t>
      </w:r>
      <w:r w:rsidR="00F734BA">
        <w:t>соблюдение</w:t>
      </w:r>
      <w:r>
        <w:t xml:space="preserve"> инструкции по применению набора.</w:t>
      </w:r>
    </w:p>
    <w:p w:rsidR="00C7515E" w:rsidRDefault="00102DAB" w:rsidP="007A36D5">
      <w:pPr>
        <w:pStyle w:val="30"/>
        <w:shd w:val="clear" w:color="auto" w:fill="auto"/>
        <w:spacing w:after="146"/>
        <w:ind w:left="20" w:right="240"/>
      </w:pPr>
      <w:r>
        <w:rPr>
          <w:lang w:val="en-US"/>
        </w:rPr>
        <w:t>NB</w:t>
      </w:r>
      <w:r>
        <w:t>! Анализ проводить при температуре от 22 до 28°С Буферного р-ра, сорбента микрокололнок и образцов Гемолитиком.</w:t>
      </w:r>
      <w:bookmarkStart w:id="0" w:name="_GoBack"/>
      <w:bookmarkEnd w:id="0"/>
    </w:p>
    <w:sectPr w:rsidR="00C7515E">
      <w:headerReference w:type="default" r:id="rId9"/>
      <w:footerReference w:type="default" r:id="rId10"/>
      <w:type w:val="continuous"/>
      <w:pgSz w:w="11909" w:h="16838"/>
      <w:pgMar w:top="865" w:right="1236" w:bottom="440" w:left="1238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4E5E" w:rsidRDefault="00574E5E">
      <w:r>
        <w:separator/>
      </w:r>
    </w:p>
  </w:endnote>
  <w:endnote w:type="continuationSeparator" w:id="0">
    <w:p w:rsidR="00574E5E" w:rsidRDefault="00574E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1F98" w:rsidRDefault="009D1F98" w:rsidP="009D1F98">
    <w:pPr>
      <w:pStyle w:val="1"/>
      <w:shd w:val="clear" w:color="auto" w:fill="auto"/>
      <w:spacing w:after="56" w:line="150" w:lineRule="exact"/>
      <w:jc w:val="left"/>
      <w:rPr>
        <w:rFonts w:ascii="Times New Roman" w:hAnsi="Times New Roman" w:cs="Times New Roman"/>
        <w:b/>
        <w:sz w:val="16"/>
        <w:szCs w:val="16"/>
      </w:rPr>
    </w:pPr>
  </w:p>
  <w:p w:rsidR="009D1F98" w:rsidRDefault="009D1F98" w:rsidP="009D1F98">
    <w:pPr>
      <w:pStyle w:val="1"/>
      <w:shd w:val="clear" w:color="auto" w:fill="auto"/>
      <w:spacing w:after="56" w:line="150" w:lineRule="exact"/>
      <w:jc w:val="left"/>
      <w:rPr>
        <w:rFonts w:ascii="Times New Roman" w:hAnsi="Times New Roman" w:cs="Times New Roman"/>
        <w:sz w:val="16"/>
        <w:szCs w:val="16"/>
      </w:rPr>
    </w:pPr>
    <w:r>
      <w:rPr>
        <w:rFonts w:ascii="Times New Roman" w:hAnsi="Times New Roman" w:cs="Times New Roman"/>
        <w:b/>
        <w:sz w:val="16"/>
        <w:szCs w:val="16"/>
      </w:rPr>
      <w:t xml:space="preserve">8 </w:t>
    </w:r>
    <w:r w:rsidRPr="009D1F98">
      <w:rPr>
        <w:rFonts w:ascii="Times New Roman" w:hAnsi="Times New Roman" w:cs="Times New Roman"/>
        <w:b/>
        <w:sz w:val="16"/>
        <w:szCs w:val="16"/>
      </w:rPr>
      <w:t>800</w:t>
    </w:r>
    <w:r w:rsidRPr="009D1F98">
      <w:rPr>
        <w:rFonts w:ascii="Times New Roman" w:hAnsi="Times New Roman" w:cs="Times New Roman"/>
        <w:b/>
        <w:sz w:val="16"/>
        <w:szCs w:val="16"/>
        <w:lang w:val="en-US"/>
      </w:rPr>
      <w:t> </w:t>
    </w:r>
    <w:r w:rsidRPr="009D1F98">
      <w:rPr>
        <w:rFonts w:ascii="Times New Roman" w:hAnsi="Times New Roman" w:cs="Times New Roman"/>
        <w:b/>
        <w:sz w:val="16"/>
        <w:szCs w:val="16"/>
      </w:rPr>
      <w:t>250 17 50</w:t>
    </w:r>
    <w:r w:rsidRPr="009D1F98">
      <w:rPr>
        <w:rFonts w:ascii="Times New Roman" w:hAnsi="Times New Roman" w:cs="Times New Roman"/>
        <w:sz w:val="16"/>
        <w:szCs w:val="16"/>
      </w:rPr>
      <w:t xml:space="preserve"> </w:t>
    </w:r>
    <w:r>
      <w:rPr>
        <w:rFonts w:ascii="Times New Roman" w:hAnsi="Times New Roman" w:cs="Times New Roman"/>
        <w:sz w:val="16"/>
        <w:szCs w:val="16"/>
      </w:rPr>
      <w:t>горячая линия поддержки пользователей</w:t>
    </w:r>
  </w:p>
  <w:p w:rsidR="009D1F98" w:rsidRPr="009D1F98" w:rsidRDefault="009D1F98" w:rsidP="009D1F98">
    <w:pPr>
      <w:pStyle w:val="1"/>
      <w:shd w:val="clear" w:color="auto" w:fill="auto"/>
      <w:spacing w:after="56" w:line="150" w:lineRule="exact"/>
      <w:jc w:val="left"/>
      <w:rPr>
        <w:rFonts w:ascii="Times New Roman" w:hAnsi="Times New Roman" w:cs="Times New Roman"/>
        <w:sz w:val="16"/>
        <w:szCs w:val="16"/>
      </w:rPr>
    </w:pPr>
    <w:r>
      <w:rPr>
        <w:rFonts w:ascii="Arial Black" w:hAnsi="Arial Black"/>
        <w:b/>
        <w:noProof/>
        <w:color w:val="009E9A"/>
        <w:sz w:val="44"/>
        <w:szCs w:val="44"/>
      </w:rPr>
      <w:drawing>
        <wp:anchor distT="0" distB="0" distL="114300" distR="114300" simplePos="0" relativeHeight="251658240" behindDoc="1" locked="0" layoutInCell="1" allowOverlap="1" wp14:anchorId="43710DEE" wp14:editId="63303030">
          <wp:simplePos x="0" y="0"/>
          <wp:positionH relativeFrom="column">
            <wp:posOffset>4549195</wp:posOffset>
          </wp:positionH>
          <wp:positionV relativeFrom="paragraph">
            <wp:posOffset>21728</wp:posOffset>
          </wp:positionV>
          <wp:extent cx="1768320" cy="381663"/>
          <wp:effectExtent l="0" t="0" r="3810" b="0"/>
          <wp:wrapNone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4193" cy="38508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D1F98">
      <w:rPr>
        <w:rFonts w:ascii="Times New Roman" w:hAnsi="Times New Roman" w:cs="Times New Roman"/>
        <w:sz w:val="16"/>
        <w:szCs w:val="16"/>
      </w:rPr>
      <w:t xml:space="preserve">По всем вопросам, касающимся качества набора «ГЛИКОГЕМОТЕСТ», </w:t>
    </w:r>
  </w:p>
  <w:p w:rsidR="009D1F98" w:rsidRPr="009D1F98" w:rsidRDefault="009D1F98" w:rsidP="009D1F98">
    <w:pPr>
      <w:pStyle w:val="1"/>
      <w:shd w:val="clear" w:color="auto" w:fill="auto"/>
      <w:spacing w:after="56" w:line="150" w:lineRule="exact"/>
      <w:jc w:val="left"/>
      <w:rPr>
        <w:rFonts w:ascii="Times New Roman" w:hAnsi="Times New Roman" w:cs="Times New Roman"/>
        <w:sz w:val="16"/>
        <w:szCs w:val="16"/>
      </w:rPr>
    </w:pPr>
    <w:r w:rsidRPr="009D1F98">
      <w:rPr>
        <w:rFonts w:ascii="Times New Roman" w:hAnsi="Times New Roman" w:cs="Times New Roman"/>
        <w:sz w:val="16"/>
        <w:szCs w:val="16"/>
      </w:rPr>
      <w:t>следует обращаться в ООО «Компания « ЭЛТА» по адресу:</w:t>
    </w:r>
  </w:p>
  <w:p w:rsidR="00104B77" w:rsidRPr="009D1F98" w:rsidRDefault="009D1F98" w:rsidP="009D1F98">
    <w:pPr>
      <w:pStyle w:val="11"/>
      <w:keepNext/>
      <w:keepLines/>
      <w:shd w:val="clear" w:color="auto" w:fill="auto"/>
      <w:tabs>
        <w:tab w:val="right" w:pos="7303"/>
      </w:tabs>
      <w:spacing w:before="0" w:after="200"/>
      <w:ind w:right="2340"/>
      <w:jc w:val="left"/>
      <w:rPr>
        <w:b w:val="0"/>
        <w:sz w:val="16"/>
        <w:szCs w:val="16"/>
      </w:rPr>
    </w:pPr>
    <w:r w:rsidRPr="009D1F98">
      <w:rPr>
        <w:b w:val="0"/>
        <w:sz w:val="16"/>
        <w:szCs w:val="16"/>
      </w:rPr>
      <w:t>123185, г. Москва, ул. Авиационная д.19,под.6. тел./факс: +7 (</w:t>
    </w:r>
    <w:r>
      <w:rPr>
        <w:b w:val="0"/>
        <w:sz w:val="16"/>
        <w:szCs w:val="16"/>
      </w:rPr>
      <w:t>499) 411 90 00</w:t>
    </w:r>
    <w:r w:rsidRPr="009D1F98">
      <w:rPr>
        <w:b w:val="0"/>
        <w:sz w:val="16"/>
        <w:szCs w:val="16"/>
      </w:rPr>
      <w:t>,</w:t>
    </w:r>
    <w:r>
      <w:rPr>
        <w:b w:val="0"/>
        <w:sz w:val="16"/>
        <w:szCs w:val="16"/>
      </w:rPr>
      <w:t xml:space="preserve">                                                    </w:t>
    </w:r>
    <w:r w:rsidRPr="009D1F98">
      <w:rPr>
        <w:b w:val="0"/>
        <w:sz w:val="16"/>
        <w:szCs w:val="16"/>
      </w:rPr>
      <w:t>и в Институт государственного контроля лекарственных средств ФГУ «НЦ ЭСМП» М3 России</w:t>
    </w:r>
    <w:r>
      <w:rPr>
        <w:b w:val="0"/>
        <w:sz w:val="16"/>
        <w:szCs w:val="16"/>
      </w:rPr>
      <w:t xml:space="preserve">                            </w:t>
    </w:r>
    <w:r w:rsidRPr="009D1F98">
      <w:rPr>
        <w:b w:val="0"/>
        <w:sz w:val="16"/>
        <w:szCs w:val="16"/>
      </w:rPr>
      <w:t xml:space="preserve"> по адресу:</w:t>
    </w:r>
    <w:bookmarkStart w:id="1" w:name="bookmark1"/>
    <w:r w:rsidRPr="009D1F98">
      <w:rPr>
        <w:b w:val="0"/>
        <w:sz w:val="16"/>
        <w:szCs w:val="16"/>
      </w:rPr>
      <w:t xml:space="preserve"> 117246, г. Москва, Научный проезд, д. 14а.</w:t>
    </w:r>
    <w:bookmarkEnd w:id="1"/>
    <w:r w:rsidRPr="009D1F98">
      <w:rPr>
        <w:color w:val="009E9A"/>
        <w:sz w:val="16"/>
        <w:szCs w:val="16"/>
      </w:rPr>
      <w:tab/>
    </w:r>
    <w:r w:rsidR="00104B77">
      <w:rPr>
        <w:rFonts w:ascii="Arial Black" w:hAnsi="Arial Black" w:cs="Arial"/>
        <w:color w:val="009E9A"/>
        <w:sz w:val="44"/>
        <w:szCs w:val="44"/>
      </w:rPr>
      <w:tab/>
    </w:r>
  </w:p>
  <w:p w:rsidR="00104B77" w:rsidRPr="009D1F98" w:rsidRDefault="00104B77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4E5E" w:rsidRDefault="00574E5E"/>
  </w:footnote>
  <w:footnote w:type="continuationSeparator" w:id="0">
    <w:p w:rsidR="00574E5E" w:rsidRDefault="00574E5E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1F98" w:rsidRDefault="009D1F98" w:rsidP="009D1F98">
    <w:pPr>
      <w:pStyle w:val="1"/>
      <w:shd w:val="clear" w:color="auto" w:fill="auto"/>
      <w:spacing w:line="182" w:lineRule="exact"/>
      <w:ind w:left="20" w:right="40"/>
      <w:jc w:val="right"/>
    </w:pPr>
  </w:p>
  <w:p w:rsidR="009D1F98" w:rsidRDefault="009D1F98" w:rsidP="009D1F98">
    <w:pPr>
      <w:pStyle w:val="1"/>
      <w:shd w:val="clear" w:color="auto" w:fill="auto"/>
      <w:spacing w:line="182" w:lineRule="exact"/>
      <w:ind w:left="20" w:right="40"/>
      <w:jc w:val="right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8083E80" wp14:editId="7F5286D8">
          <wp:simplePos x="0" y="0"/>
          <wp:positionH relativeFrom="column">
            <wp:posOffset>191880</wp:posOffset>
          </wp:positionH>
          <wp:positionV relativeFrom="paragraph">
            <wp:posOffset>99115</wp:posOffset>
          </wp:positionV>
          <wp:extent cx="2456953" cy="226704"/>
          <wp:effectExtent l="0" t="0" r="635" b="1905"/>
          <wp:wrapNone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likogemotest3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61905" cy="22716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D1F98" w:rsidRPr="009D1F98" w:rsidRDefault="009D1F98" w:rsidP="009D1F98">
    <w:pPr>
      <w:pStyle w:val="1"/>
      <w:shd w:val="clear" w:color="auto" w:fill="auto"/>
      <w:spacing w:line="182" w:lineRule="exact"/>
      <w:ind w:left="20" w:right="40"/>
      <w:jc w:val="right"/>
    </w:pPr>
    <w:r>
      <w:t>Утверждена Федеральной службой по надзору в сфере</w:t>
    </w:r>
  </w:p>
  <w:p w:rsidR="00D109AC" w:rsidRPr="009D1F98" w:rsidRDefault="009D1F98" w:rsidP="009D1F98">
    <w:pPr>
      <w:pStyle w:val="1"/>
      <w:shd w:val="clear" w:color="auto" w:fill="auto"/>
      <w:spacing w:line="182" w:lineRule="exact"/>
      <w:ind w:left="20" w:right="40"/>
      <w:jc w:val="right"/>
    </w:pPr>
    <w:r w:rsidRPr="009D1F98">
      <w:rPr>
        <w:rFonts w:ascii="Arial Black" w:hAnsi="Arial Black"/>
        <w:b/>
        <w:color w:val="009E9A"/>
        <w:sz w:val="44"/>
        <w:szCs w:val="44"/>
      </w:rPr>
      <w:t xml:space="preserve">                              </w:t>
    </w:r>
    <w:r>
      <w:t xml:space="preserve"> здравоохранения и социального развития12 апреля 2005г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674666"/>
    <w:multiLevelType w:val="multilevel"/>
    <w:tmpl w:val="1794EE62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6E6A169C"/>
    <w:multiLevelType w:val="multilevel"/>
    <w:tmpl w:val="056C6E24"/>
    <w:lvl w:ilvl="0">
      <w:numFmt w:val="decimal"/>
      <w:lvlText w:val="%1."/>
      <w:lvlJc w:val="left"/>
      <w:pPr>
        <w:ind w:left="0" w:firstLine="0"/>
      </w:pPr>
      <w:rPr>
        <w:rFonts w:ascii="Arial" w:eastAsia="Arial" w:hAnsi="Arial" w:cs="Arial"/>
        <w:b/>
        <w:bCs/>
        <w:i/>
        <w:iCs/>
        <w:smallCaps w:val="0"/>
        <w:strike w:val="0"/>
        <w:dstrike w:val="0"/>
        <w:color w:val="000000"/>
        <w:spacing w:val="0"/>
        <w:w w:val="100"/>
        <w:position w:val="0"/>
        <w:sz w:val="15"/>
        <w:szCs w:val="15"/>
        <w:u w:val="none"/>
        <w:effect w:val="none"/>
        <w:lang w:val="ru-RU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5"/>
        <w:szCs w:val="15"/>
        <w:u w:val="none"/>
        <w:effect w:val="none"/>
        <w:lang w:val="ru-RU"/>
      </w:r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>
    <w:abstractNumId w:val="0"/>
  </w:num>
  <w:num w:numId="2">
    <w:abstractNumId w:val="1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drawingGridHorizontalSpacing w:val="181"/>
  <w:drawingGridVerticalSpacing w:val="181"/>
  <w:characterSpacingControl w:val="compressPunctuation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12BB"/>
    <w:rsid w:val="00102DAB"/>
    <w:rsid w:val="00104B77"/>
    <w:rsid w:val="002B2746"/>
    <w:rsid w:val="004C562E"/>
    <w:rsid w:val="005721F5"/>
    <w:rsid w:val="00574E5E"/>
    <w:rsid w:val="006612BB"/>
    <w:rsid w:val="006821A6"/>
    <w:rsid w:val="006B3A9E"/>
    <w:rsid w:val="007A36D5"/>
    <w:rsid w:val="0086108D"/>
    <w:rsid w:val="009D1F98"/>
    <w:rsid w:val="009F3943"/>
    <w:rsid w:val="00A168DC"/>
    <w:rsid w:val="00A339CF"/>
    <w:rsid w:val="00A771FC"/>
    <w:rsid w:val="00A95936"/>
    <w:rsid w:val="00B31E3E"/>
    <w:rsid w:val="00C04AFD"/>
    <w:rsid w:val="00C7515E"/>
    <w:rsid w:val="00C806C6"/>
    <w:rsid w:val="00C86C18"/>
    <w:rsid w:val="00D109AC"/>
    <w:rsid w:val="00DD4E71"/>
    <w:rsid w:val="00E37340"/>
    <w:rsid w:val="00F734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a4">
    <w:name w:val="Основной текст_"/>
    <w:basedOn w:val="a0"/>
    <w:link w:val="1"/>
    <w:rPr>
      <w:rFonts w:ascii="Arial" w:eastAsia="Arial" w:hAnsi="Arial" w:cs="Arial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10">
    <w:name w:val="Заголовок №1_"/>
    <w:basedOn w:val="a0"/>
    <w:link w:val="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3"/>
      <w:szCs w:val="23"/>
      <w:u w:val="none"/>
    </w:rPr>
  </w:style>
  <w:style w:type="character" w:customStyle="1" w:styleId="2">
    <w:name w:val="Основной текст (2)_"/>
    <w:basedOn w:val="a0"/>
    <w:link w:val="20"/>
    <w:rPr>
      <w:rFonts w:ascii="Arial" w:eastAsia="Arial" w:hAnsi="Arial" w:cs="Arial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3">
    <w:name w:val="Основной текст (3)_"/>
    <w:basedOn w:val="a0"/>
    <w:link w:val="30"/>
    <w:rPr>
      <w:rFonts w:ascii="Arial" w:eastAsia="Arial" w:hAnsi="Arial" w:cs="Arial"/>
      <w:b/>
      <w:bCs/>
      <w:i/>
      <w:iCs/>
      <w:smallCaps w:val="0"/>
      <w:strike w:val="0"/>
      <w:sz w:val="15"/>
      <w:szCs w:val="15"/>
      <w:u w:val="none"/>
    </w:rPr>
  </w:style>
  <w:style w:type="character" w:customStyle="1" w:styleId="a5">
    <w:name w:val="Основной текст + Курсив"/>
    <w:basedOn w:val="a4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/>
    </w:rPr>
  </w:style>
  <w:style w:type="character" w:customStyle="1" w:styleId="a6">
    <w:name w:val="Основной текст + Малые прописные"/>
    <w:basedOn w:val="a4"/>
    <w:rPr>
      <w:rFonts w:ascii="Arial" w:eastAsia="Arial" w:hAnsi="Arial" w:cs="Arial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4"/>
      <w:szCs w:val="14"/>
      <w:u w:val="none"/>
    </w:rPr>
  </w:style>
  <w:style w:type="paragraph" w:customStyle="1" w:styleId="1">
    <w:name w:val="Основной текст1"/>
    <w:basedOn w:val="a"/>
    <w:link w:val="a4"/>
    <w:pPr>
      <w:shd w:val="clear" w:color="auto" w:fill="FFFFFF"/>
      <w:spacing w:line="185" w:lineRule="exact"/>
      <w:jc w:val="both"/>
    </w:pPr>
    <w:rPr>
      <w:rFonts w:ascii="Arial" w:eastAsia="Arial" w:hAnsi="Arial" w:cs="Arial"/>
      <w:sz w:val="14"/>
      <w:szCs w:val="14"/>
    </w:rPr>
  </w:style>
  <w:style w:type="paragraph" w:customStyle="1" w:styleId="11">
    <w:name w:val="Заголовок №1"/>
    <w:basedOn w:val="a"/>
    <w:link w:val="10"/>
    <w:pPr>
      <w:shd w:val="clear" w:color="auto" w:fill="FFFFFF"/>
      <w:spacing w:before="120" w:after="120" w:line="0" w:lineRule="atLeast"/>
      <w:jc w:val="right"/>
      <w:outlineLvl w:val="0"/>
    </w:pPr>
    <w:rPr>
      <w:rFonts w:ascii="Times New Roman" w:eastAsia="Times New Roman" w:hAnsi="Times New Roman" w:cs="Times New Roman"/>
      <w:b/>
      <w:bCs/>
      <w:sz w:val="23"/>
      <w:szCs w:val="23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before="120" w:after="120" w:line="228" w:lineRule="exact"/>
      <w:jc w:val="center"/>
    </w:pPr>
    <w:rPr>
      <w:rFonts w:ascii="Arial" w:eastAsia="Arial" w:hAnsi="Arial" w:cs="Arial"/>
      <w:b/>
      <w:bCs/>
      <w:sz w:val="19"/>
      <w:szCs w:val="19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before="120" w:after="60" w:line="0" w:lineRule="atLeast"/>
      <w:jc w:val="both"/>
    </w:pPr>
    <w:rPr>
      <w:rFonts w:ascii="Arial" w:eastAsia="Arial" w:hAnsi="Arial" w:cs="Arial"/>
      <w:b/>
      <w:bCs/>
      <w:i/>
      <w:iCs/>
      <w:sz w:val="15"/>
      <w:szCs w:val="15"/>
    </w:rPr>
  </w:style>
  <w:style w:type="character" w:customStyle="1" w:styleId="a7">
    <w:name w:val="Основной текст + Полужирный"/>
    <w:basedOn w:val="a4"/>
    <w:rsid w:val="00102DAB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paragraph" w:styleId="a8">
    <w:name w:val="header"/>
    <w:basedOn w:val="a"/>
    <w:link w:val="a9"/>
    <w:uiPriority w:val="99"/>
    <w:unhideWhenUsed/>
    <w:rsid w:val="00D109A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D109AC"/>
    <w:rPr>
      <w:color w:val="000000"/>
    </w:rPr>
  </w:style>
  <w:style w:type="paragraph" w:styleId="aa">
    <w:name w:val="footer"/>
    <w:basedOn w:val="a"/>
    <w:link w:val="ab"/>
    <w:uiPriority w:val="99"/>
    <w:unhideWhenUsed/>
    <w:rsid w:val="00D109A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D109AC"/>
    <w:rPr>
      <w:color w:val="000000"/>
    </w:rPr>
  </w:style>
  <w:style w:type="paragraph" w:styleId="ac">
    <w:name w:val="Balloon Text"/>
    <w:basedOn w:val="a"/>
    <w:link w:val="ad"/>
    <w:uiPriority w:val="99"/>
    <w:semiHidden/>
    <w:unhideWhenUsed/>
    <w:rsid w:val="00D109AC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D109AC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a4">
    <w:name w:val="Основной текст_"/>
    <w:basedOn w:val="a0"/>
    <w:link w:val="1"/>
    <w:rPr>
      <w:rFonts w:ascii="Arial" w:eastAsia="Arial" w:hAnsi="Arial" w:cs="Arial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10">
    <w:name w:val="Заголовок №1_"/>
    <w:basedOn w:val="a0"/>
    <w:link w:val="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3"/>
      <w:szCs w:val="23"/>
      <w:u w:val="none"/>
    </w:rPr>
  </w:style>
  <w:style w:type="character" w:customStyle="1" w:styleId="2">
    <w:name w:val="Основной текст (2)_"/>
    <w:basedOn w:val="a0"/>
    <w:link w:val="20"/>
    <w:rPr>
      <w:rFonts w:ascii="Arial" w:eastAsia="Arial" w:hAnsi="Arial" w:cs="Arial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3">
    <w:name w:val="Основной текст (3)_"/>
    <w:basedOn w:val="a0"/>
    <w:link w:val="30"/>
    <w:rPr>
      <w:rFonts w:ascii="Arial" w:eastAsia="Arial" w:hAnsi="Arial" w:cs="Arial"/>
      <w:b/>
      <w:bCs/>
      <w:i/>
      <w:iCs/>
      <w:smallCaps w:val="0"/>
      <w:strike w:val="0"/>
      <w:sz w:val="15"/>
      <w:szCs w:val="15"/>
      <w:u w:val="none"/>
    </w:rPr>
  </w:style>
  <w:style w:type="character" w:customStyle="1" w:styleId="a5">
    <w:name w:val="Основной текст + Курсив"/>
    <w:basedOn w:val="a4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/>
    </w:rPr>
  </w:style>
  <w:style w:type="character" w:customStyle="1" w:styleId="a6">
    <w:name w:val="Основной текст + Малые прописные"/>
    <w:basedOn w:val="a4"/>
    <w:rPr>
      <w:rFonts w:ascii="Arial" w:eastAsia="Arial" w:hAnsi="Arial" w:cs="Arial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4"/>
      <w:szCs w:val="14"/>
      <w:u w:val="none"/>
    </w:rPr>
  </w:style>
  <w:style w:type="paragraph" w:customStyle="1" w:styleId="1">
    <w:name w:val="Основной текст1"/>
    <w:basedOn w:val="a"/>
    <w:link w:val="a4"/>
    <w:pPr>
      <w:shd w:val="clear" w:color="auto" w:fill="FFFFFF"/>
      <w:spacing w:line="185" w:lineRule="exact"/>
      <w:jc w:val="both"/>
    </w:pPr>
    <w:rPr>
      <w:rFonts w:ascii="Arial" w:eastAsia="Arial" w:hAnsi="Arial" w:cs="Arial"/>
      <w:sz w:val="14"/>
      <w:szCs w:val="14"/>
    </w:rPr>
  </w:style>
  <w:style w:type="paragraph" w:customStyle="1" w:styleId="11">
    <w:name w:val="Заголовок №1"/>
    <w:basedOn w:val="a"/>
    <w:link w:val="10"/>
    <w:pPr>
      <w:shd w:val="clear" w:color="auto" w:fill="FFFFFF"/>
      <w:spacing w:before="120" w:after="120" w:line="0" w:lineRule="atLeast"/>
      <w:jc w:val="right"/>
      <w:outlineLvl w:val="0"/>
    </w:pPr>
    <w:rPr>
      <w:rFonts w:ascii="Times New Roman" w:eastAsia="Times New Roman" w:hAnsi="Times New Roman" w:cs="Times New Roman"/>
      <w:b/>
      <w:bCs/>
      <w:sz w:val="23"/>
      <w:szCs w:val="23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before="120" w:after="120" w:line="228" w:lineRule="exact"/>
      <w:jc w:val="center"/>
    </w:pPr>
    <w:rPr>
      <w:rFonts w:ascii="Arial" w:eastAsia="Arial" w:hAnsi="Arial" w:cs="Arial"/>
      <w:b/>
      <w:bCs/>
      <w:sz w:val="19"/>
      <w:szCs w:val="19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before="120" w:after="60" w:line="0" w:lineRule="atLeast"/>
      <w:jc w:val="both"/>
    </w:pPr>
    <w:rPr>
      <w:rFonts w:ascii="Arial" w:eastAsia="Arial" w:hAnsi="Arial" w:cs="Arial"/>
      <w:b/>
      <w:bCs/>
      <w:i/>
      <w:iCs/>
      <w:sz w:val="15"/>
      <w:szCs w:val="15"/>
    </w:rPr>
  </w:style>
  <w:style w:type="character" w:customStyle="1" w:styleId="a7">
    <w:name w:val="Основной текст + Полужирный"/>
    <w:basedOn w:val="a4"/>
    <w:rsid w:val="00102DAB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paragraph" w:styleId="a8">
    <w:name w:val="header"/>
    <w:basedOn w:val="a"/>
    <w:link w:val="a9"/>
    <w:uiPriority w:val="99"/>
    <w:unhideWhenUsed/>
    <w:rsid w:val="00D109A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D109AC"/>
    <w:rPr>
      <w:color w:val="000000"/>
    </w:rPr>
  </w:style>
  <w:style w:type="paragraph" w:styleId="aa">
    <w:name w:val="footer"/>
    <w:basedOn w:val="a"/>
    <w:link w:val="ab"/>
    <w:uiPriority w:val="99"/>
    <w:unhideWhenUsed/>
    <w:rsid w:val="00D109A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D109AC"/>
    <w:rPr>
      <w:color w:val="000000"/>
    </w:rPr>
  </w:style>
  <w:style w:type="paragraph" w:styleId="ac">
    <w:name w:val="Balloon Text"/>
    <w:basedOn w:val="a"/>
    <w:link w:val="ad"/>
    <w:uiPriority w:val="99"/>
    <w:semiHidden/>
    <w:unhideWhenUsed/>
    <w:rsid w:val="00D109AC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D109AC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269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3C87CE-9A0E-432C-8B5A-DA29D004C4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1512</Words>
  <Characters>8621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Элта-Аня</dc:creator>
  <cp:lastModifiedBy>USER</cp:lastModifiedBy>
  <cp:revision>4</cp:revision>
  <cp:lastPrinted>2013-11-07T11:31:00Z</cp:lastPrinted>
  <dcterms:created xsi:type="dcterms:W3CDTF">2013-11-05T12:33:00Z</dcterms:created>
  <dcterms:modified xsi:type="dcterms:W3CDTF">2013-11-07T11:32:00Z</dcterms:modified>
</cp:coreProperties>
</file>